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E80F1" w14:textId="4E85EC1B" w:rsidR="005F5879" w:rsidRPr="005F5879" w:rsidRDefault="005F5879" w:rsidP="005F5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7707700"/>
      <w:r w:rsidRPr="005F5879">
        <w:rPr>
          <w:rFonts w:ascii="Times New Roman" w:hAnsi="Times New Roman" w:cs="Times New Roman"/>
          <w:b/>
          <w:bCs/>
          <w:sz w:val="24"/>
          <w:szCs w:val="24"/>
        </w:rPr>
        <w:t>НЕТЕХНИЧЕСКОЕ РЕЗЮМЕ</w:t>
      </w:r>
    </w:p>
    <w:bookmarkEnd w:id="0"/>
    <w:p w14:paraId="4A2C4848" w14:textId="478355DE" w:rsidR="00256539" w:rsidRDefault="001D263D" w:rsidP="001D26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E4C9E" w:rsidRPr="007E4C9E">
        <w:rPr>
          <w:rFonts w:ascii="Times New Roman" w:hAnsi="Times New Roman" w:cs="Times New Roman"/>
          <w:b/>
          <w:bCs/>
          <w:sz w:val="24"/>
          <w:szCs w:val="24"/>
        </w:rPr>
        <w:t>«Корректировка проекта нормативов допустимых выбросов загрязняющих веществ в атмосферный воздух от объектов месторождения Акжар Восточный ТОО «Altay Resources» на период с 01.05.2025 по 31.12.2025 гг. Программа управления отходами (ПУО), Программа экологического контроля (ПЭК), План природоохранных мероприятий (ППМ)»</w:t>
      </w:r>
    </w:p>
    <w:p w14:paraId="5C00BD69" w14:textId="3A674275" w:rsidR="005F5879" w:rsidRPr="005F5879" w:rsidRDefault="00256539" w:rsidP="0025653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565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5879" w:rsidRPr="005F5879">
        <w:rPr>
          <w:rFonts w:ascii="Times New Roman" w:hAnsi="Times New Roman" w:cs="Times New Roman"/>
          <w:b/>
          <w:bCs/>
          <w:i/>
          <w:iCs/>
          <w:sz w:val="24"/>
          <w:szCs w:val="24"/>
        </w:rPr>
        <w:t>1. Описание предполагаемого места осуществления намечаемой деятельности, план с изображением его границ</w:t>
      </w:r>
    </w:p>
    <w:p w14:paraId="38967268" w14:textId="77777777" w:rsidR="001D263D" w:rsidRPr="001D263D" w:rsidRDefault="001D263D" w:rsidP="001D263D">
      <w:pPr>
        <w:pStyle w:val="Default"/>
        <w:ind w:firstLine="426"/>
      </w:pPr>
      <w:r w:rsidRPr="001D263D">
        <w:t xml:space="preserve">ТОО «Altay Resources» в соответствие с контрактом на недропользование проводит геологоразведочные работы на площади Акжар Восточный с целью детального изучения геологического строения, выявления перспективных объектов на нефть и газ, уточнения модели месторождения, перевода запасов нефти из категории С2 в категорию С1, получения подсчетных параметров. По административному положению площадь участка Акжар Восточный находится в Байганинском районе Актюбинской области Республики Казахстан. </w:t>
      </w:r>
    </w:p>
    <w:p w14:paraId="7EAFCE27" w14:textId="77777777" w:rsidR="001D263D" w:rsidRPr="001D263D" w:rsidRDefault="001D263D" w:rsidP="001D263D">
      <w:pPr>
        <w:pStyle w:val="Default"/>
        <w:ind w:firstLine="426"/>
      </w:pPr>
      <w:r w:rsidRPr="001D263D">
        <w:t xml:space="preserve">Областной центр г. Актобе находится на расстоянии 250 км на северо-восток. Административным центром Байганинского района является с. Байганин (80 км на северо-запад). </w:t>
      </w:r>
    </w:p>
    <w:p w14:paraId="3984AE39" w14:textId="77777777" w:rsidR="001D263D" w:rsidRPr="001D263D" w:rsidRDefault="001D263D" w:rsidP="001D263D">
      <w:pPr>
        <w:pStyle w:val="Default"/>
        <w:ind w:firstLine="426"/>
      </w:pPr>
      <w:r w:rsidRPr="001D263D">
        <w:t xml:space="preserve">Обзорная карта расположения участка Акжар Восточный приведена на рис.1.1. </w:t>
      </w:r>
    </w:p>
    <w:p w14:paraId="321C8485" w14:textId="77777777" w:rsidR="001D263D" w:rsidRPr="001D263D" w:rsidRDefault="001D263D" w:rsidP="001D263D">
      <w:pPr>
        <w:pStyle w:val="Default"/>
        <w:ind w:firstLine="426"/>
      </w:pPr>
      <w:r w:rsidRPr="001D263D">
        <w:t xml:space="preserve">Ближайший населенный пункт пос.Кемерши находится на расстоянии 8 км к юго-востоку от месторождения. Промышленные зоны, леса, сельскохозяйственные угодий, транспортные магистрали, селитебные территорий, зоны отдыхы, территории заповедников, ООПТ, музеи, памятники архитектуры, санатории, дома отдыха и т. д. на территории рассматриваемого участка отсутствуют, а также не имеется граничащих с ней подобных объектов.. </w:t>
      </w:r>
    </w:p>
    <w:p w14:paraId="0B14A48E" w14:textId="77777777" w:rsidR="001D263D" w:rsidRPr="001D263D" w:rsidRDefault="001D263D" w:rsidP="001D263D">
      <w:pPr>
        <w:pStyle w:val="Default"/>
        <w:ind w:firstLine="426"/>
      </w:pPr>
      <w:r w:rsidRPr="001D263D">
        <w:t xml:space="preserve">Севернее участка проходят железная и автомобильная дороги, соединяющие Актобе с Атырау. Ближайшая железнодорожная станция Караулкельды (пос. Байганин). Дорожная сеть представлена грунтовыми и проселочными дорогам, которые являются на территории основными путями сообщения. </w:t>
      </w:r>
    </w:p>
    <w:p w14:paraId="1E205631" w14:textId="24A5BAD8" w:rsidR="001D263D" w:rsidRDefault="001D263D" w:rsidP="001D26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D263D">
        <w:rPr>
          <w:rFonts w:ascii="Times New Roman" w:hAnsi="Times New Roman" w:cs="Times New Roman"/>
          <w:sz w:val="24"/>
          <w:szCs w:val="24"/>
        </w:rPr>
        <w:t>В пределах контрактного блока находятся участки месторождений Акжар (в западной части блока) и Каратюбе (в южной части блока), где ведется пробная эксплуатация этих объектов другими компаниями. Участок расположения первоочередных скважин находится на расстоянии ~3,0-5,0 км от месторождения Акжар и значительно удален от месторождения Каратюбе (~10-12 км).</w:t>
      </w:r>
    </w:p>
    <w:p w14:paraId="04FDBBC7" w14:textId="77777777" w:rsidR="003A0B08" w:rsidRPr="001D263D" w:rsidRDefault="003A0B08" w:rsidP="001D26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18AB1A25" w14:textId="743E8925" w:rsidR="005F5879" w:rsidRPr="005F5879" w:rsidRDefault="005F5879" w:rsidP="005F587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F5879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 Наименование инициатора намечаемой деятельности, его контактные данные</w:t>
      </w:r>
      <w:r w:rsidRPr="005F587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5B0B9EA7" w14:textId="5344CD34" w:rsidR="001D263D" w:rsidRDefault="001D263D" w:rsidP="005F5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63D">
        <w:rPr>
          <w:rFonts w:ascii="Times New Roman" w:hAnsi="Times New Roman" w:cs="Times New Roman"/>
          <w:sz w:val="24"/>
          <w:szCs w:val="24"/>
        </w:rPr>
        <w:t>ТОО «Altay Resources», Юридический адрес: г.Алматы, Бостандыкский район, улица Площадь Республики, 15, кв офис 3 этаж. Тел: +7 (7132) 74‒20‒71.</w:t>
      </w:r>
    </w:p>
    <w:p w14:paraId="1181339D" w14:textId="77777777" w:rsidR="003A0B08" w:rsidRDefault="003A0B08" w:rsidP="005F5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14EA7" w14:textId="644F0155" w:rsidR="005F5879" w:rsidRDefault="005F5879" w:rsidP="005F587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F5879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 Описание затрагиваемой территории с указанием численности её населения, участков, на которых могут быть обнаружены выбросы, сбросы и иные негативные воздействия намечаемой деятельности на окружающую среду, с учётом их характеристик и способности переноса в окружающую среду; участков извлечения природных ресурсов и захоронения отходов.</w:t>
      </w:r>
    </w:p>
    <w:p w14:paraId="7BAAD8E0" w14:textId="77777777" w:rsidR="005F5879" w:rsidRPr="005F5879" w:rsidRDefault="005F5879" w:rsidP="005F5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7A3086" w14:textId="77777777" w:rsidR="00465ACA" w:rsidRPr="00465ACA" w:rsidRDefault="00465ACA" w:rsidP="00465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5ACA">
        <w:rPr>
          <w:rFonts w:ascii="Times New Roman" w:hAnsi="Times New Roman" w:cs="Times New Roman"/>
          <w:sz w:val="24"/>
          <w:szCs w:val="24"/>
          <w:lang w:val="kk-KZ"/>
        </w:rPr>
        <w:t>Основные выбросы загрязняющих веществ в атмосферу на объектах предприятия связаны с эксплуатацией технологического оборудования в процессе добычи, подготовки и транспортировки углеводородного сырья.</w:t>
      </w:r>
    </w:p>
    <w:p w14:paraId="29A4518F" w14:textId="77777777" w:rsidR="00465ACA" w:rsidRPr="00465ACA" w:rsidRDefault="00465ACA" w:rsidP="00465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5ACA">
        <w:rPr>
          <w:rFonts w:ascii="Times New Roman" w:hAnsi="Times New Roman" w:cs="Times New Roman"/>
          <w:sz w:val="24"/>
          <w:szCs w:val="24"/>
          <w:lang w:val="kk-KZ"/>
        </w:rPr>
        <w:t>На производственных площадках месторождения Акжар Восточный источниками выделения загрязняющих веществ являются: неплотности арматуры и фланцевых соединений на обвязках оборудования, дыхательные клапаны емкостей резервуарного парка, насосные агрегаты, дизельгенераторы,факела, ГПЭС, печи, резервуары, дренажные емкости, сварочные посты и т.д.</w:t>
      </w:r>
    </w:p>
    <w:p w14:paraId="51FB7185" w14:textId="77777777" w:rsidR="00465ACA" w:rsidRPr="00465ACA" w:rsidRDefault="00465ACA" w:rsidP="00465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5ACA">
        <w:rPr>
          <w:rFonts w:ascii="Times New Roman" w:hAnsi="Times New Roman" w:cs="Times New Roman"/>
          <w:sz w:val="24"/>
          <w:szCs w:val="24"/>
          <w:lang w:val="kk-KZ"/>
        </w:rPr>
        <w:t>На предприятии газоочистные и пылеулавливающие установки отсутствуют.</w:t>
      </w:r>
    </w:p>
    <w:p w14:paraId="363ECB44" w14:textId="77777777" w:rsidR="00465ACA" w:rsidRPr="00465ACA" w:rsidRDefault="00465ACA" w:rsidP="00465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5ACA">
        <w:rPr>
          <w:rFonts w:ascii="Times New Roman" w:hAnsi="Times New Roman" w:cs="Times New Roman"/>
          <w:sz w:val="24"/>
          <w:szCs w:val="24"/>
          <w:lang w:val="kk-KZ"/>
        </w:rPr>
        <w:lastRenderedPageBreak/>
        <w:t>Резервуары хранения и перекачки нефти, расположенные в резервуарном парке, имеют дыхательные клапаны. От дыхательных клапанов в атмосферу выбрасываются углеводороды.</w:t>
      </w:r>
    </w:p>
    <w:p w14:paraId="2208C247" w14:textId="77777777" w:rsidR="00465ACA" w:rsidRPr="00465ACA" w:rsidRDefault="00465ACA" w:rsidP="00465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5ACA">
        <w:rPr>
          <w:rFonts w:ascii="Times New Roman" w:hAnsi="Times New Roman" w:cs="Times New Roman"/>
          <w:sz w:val="24"/>
          <w:szCs w:val="24"/>
          <w:lang w:val="kk-KZ"/>
        </w:rPr>
        <w:t>На насосных станциях в качестве источников выделения и выбросов загрязняющих веществ выступают неплотности оборудования и фланцевых соединений.</w:t>
      </w:r>
    </w:p>
    <w:p w14:paraId="4511D7B6" w14:textId="77777777" w:rsidR="00465ACA" w:rsidRPr="00465ACA" w:rsidRDefault="00465ACA" w:rsidP="00465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5ACA">
        <w:rPr>
          <w:rFonts w:ascii="Times New Roman" w:hAnsi="Times New Roman" w:cs="Times New Roman"/>
          <w:sz w:val="24"/>
          <w:szCs w:val="24"/>
          <w:lang w:val="kk-KZ"/>
        </w:rPr>
        <w:t>От факельных установок (организованный источник) выделяются оксиды азота, оксиды углерода, метан, диоксид серы, меркаптаны и сажа.</w:t>
      </w:r>
    </w:p>
    <w:p w14:paraId="588D4A9D" w14:textId="77777777" w:rsidR="00465ACA" w:rsidRPr="00465ACA" w:rsidRDefault="00465ACA" w:rsidP="00465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5ACA">
        <w:rPr>
          <w:rFonts w:ascii="Times New Roman" w:hAnsi="Times New Roman" w:cs="Times New Roman"/>
          <w:sz w:val="24"/>
          <w:szCs w:val="24"/>
          <w:lang w:val="kk-KZ"/>
        </w:rPr>
        <w:t>При сварочных работах выделяется оксид железа, соединения марганца, фториды и другие загрязняющие вещества.</w:t>
      </w:r>
    </w:p>
    <w:p w14:paraId="3F745FA6" w14:textId="77777777" w:rsidR="00465ACA" w:rsidRPr="00465ACA" w:rsidRDefault="00465ACA" w:rsidP="00465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5ACA">
        <w:rPr>
          <w:rFonts w:ascii="Times New Roman" w:hAnsi="Times New Roman" w:cs="Times New Roman"/>
          <w:sz w:val="24"/>
          <w:szCs w:val="24"/>
          <w:lang w:val="kk-KZ"/>
        </w:rPr>
        <w:t>При работе ДЭС в атмосферный воздух выбрасываются продукты сгорания топлива - оксиды азота, оксиды углерода, диоксид серы.</w:t>
      </w:r>
    </w:p>
    <w:p w14:paraId="6E862B62" w14:textId="77777777" w:rsidR="00465ACA" w:rsidRPr="00465ACA" w:rsidRDefault="00465ACA" w:rsidP="00465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5ACA">
        <w:rPr>
          <w:rFonts w:ascii="Times New Roman" w:hAnsi="Times New Roman" w:cs="Times New Roman"/>
          <w:sz w:val="24"/>
          <w:szCs w:val="24"/>
          <w:lang w:val="kk-KZ"/>
        </w:rPr>
        <w:t>При ГПЭС и печей в атмосферный воздух выбрасываются продукты сгорания топлива - оксиды азота, оксиды углерода, диоксид серы.</w:t>
      </w:r>
    </w:p>
    <w:p w14:paraId="2C3B44C4" w14:textId="77777777" w:rsidR="00465ACA" w:rsidRPr="00465ACA" w:rsidRDefault="00465ACA" w:rsidP="00465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5ACA">
        <w:rPr>
          <w:rFonts w:ascii="Times New Roman" w:hAnsi="Times New Roman" w:cs="Times New Roman"/>
          <w:sz w:val="24"/>
          <w:szCs w:val="24"/>
          <w:lang w:val="kk-KZ"/>
        </w:rPr>
        <w:t>Перечень загрязняющих веществ, выбрасываемых в атмосферу от источников ТОО «Altay Resources» представлен в таблице 3.1.</w:t>
      </w:r>
    </w:p>
    <w:p w14:paraId="78C9D7E9" w14:textId="77777777" w:rsidR="00465ACA" w:rsidRPr="00465ACA" w:rsidRDefault="00465ACA" w:rsidP="00465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5ACA">
        <w:rPr>
          <w:rFonts w:ascii="Times New Roman" w:hAnsi="Times New Roman" w:cs="Times New Roman"/>
          <w:sz w:val="24"/>
          <w:szCs w:val="24"/>
          <w:lang w:val="kk-KZ"/>
        </w:rPr>
        <w:t>Систематизированные данные по источникам выбросов приведены в приложении 5 «Параметры выбросов загрязняющих веществ в атмосферу для расчета ПДВ».</w:t>
      </w:r>
    </w:p>
    <w:p w14:paraId="3B8E5627" w14:textId="726CF523" w:rsidR="004C1B86" w:rsidRPr="005F5879" w:rsidRDefault="00465ACA" w:rsidP="00465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ACA">
        <w:rPr>
          <w:rFonts w:ascii="Times New Roman" w:hAnsi="Times New Roman" w:cs="Times New Roman"/>
          <w:sz w:val="24"/>
          <w:szCs w:val="24"/>
          <w:lang w:val="kk-KZ"/>
        </w:rPr>
        <w:t>Расчеты выбросов загрязняющих веществ от организованных и неорганизованных источников по объектам месторождения приведены в приложении 1.</w:t>
      </w:r>
    </w:p>
    <w:p w14:paraId="209128CC" w14:textId="35D0F3A3" w:rsidR="005F5879" w:rsidRDefault="005F5879" w:rsidP="005F587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F5879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 Краткое описание намечаемой деятельности:</w:t>
      </w:r>
    </w:p>
    <w:p w14:paraId="60398219" w14:textId="77777777" w:rsidR="00465ACA" w:rsidRPr="00465ACA" w:rsidRDefault="00465ACA" w:rsidP="00465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ACA">
        <w:rPr>
          <w:rFonts w:ascii="Times New Roman" w:hAnsi="Times New Roman" w:cs="Times New Roman"/>
          <w:sz w:val="24"/>
          <w:szCs w:val="24"/>
        </w:rPr>
        <w:t>В состав месторождения Акжар Восточный включены: площадки скважин, АГЗУ, пункт подготовки нефти (ППН) и вахтовый поселок.</w:t>
      </w:r>
    </w:p>
    <w:p w14:paraId="1940F444" w14:textId="77777777" w:rsidR="00465ACA" w:rsidRPr="00465ACA" w:rsidRDefault="00465ACA" w:rsidP="00465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ACA">
        <w:rPr>
          <w:rFonts w:ascii="Times New Roman" w:hAnsi="Times New Roman" w:cs="Times New Roman"/>
          <w:sz w:val="24"/>
          <w:szCs w:val="24"/>
        </w:rPr>
        <w:t>Скважины эксплуатируются фонтанным способом на естественном режиме. На скважинах расположены устье скважины и блок монифольда.</w:t>
      </w:r>
    </w:p>
    <w:p w14:paraId="6BE79FDB" w14:textId="77777777" w:rsidR="00465ACA" w:rsidRPr="00465ACA" w:rsidRDefault="00465ACA" w:rsidP="00465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ACA">
        <w:rPr>
          <w:rFonts w:ascii="Times New Roman" w:hAnsi="Times New Roman" w:cs="Times New Roman"/>
          <w:sz w:val="24"/>
          <w:szCs w:val="24"/>
        </w:rPr>
        <w:t>В состав АГЗУ входят: замерная установка «Спутник АМ-40-8-1500».</w:t>
      </w:r>
    </w:p>
    <w:p w14:paraId="2FEC7584" w14:textId="77777777" w:rsidR="00465ACA" w:rsidRPr="00465ACA" w:rsidRDefault="00465ACA" w:rsidP="00465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ACA">
        <w:rPr>
          <w:rFonts w:ascii="Times New Roman" w:hAnsi="Times New Roman" w:cs="Times New Roman"/>
          <w:sz w:val="24"/>
          <w:szCs w:val="24"/>
        </w:rPr>
        <w:t>Вахтовый поселок предназначен для проживания работников месторождения, электрообеспечения от ДЭС расположенных на ППН.</w:t>
      </w:r>
    </w:p>
    <w:p w14:paraId="1D652498" w14:textId="77777777" w:rsidR="00465ACA" w:rsidRPr="00465ACA" w:rsidRDefault="00465ACA" w:rsidP="00465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ACA">
        <w:rPr>
          <w:rFonts w:ascii="Times New Roman" w:hAnsi="Times New Roman" w:cs="Times New Roman"/>
          <w:sz w:val="24"/>
          <w:szCs w:val="24"/>
        </w:rPr>
        <w:t>Процесс сбора, транспорта и подготовки нефти и газа на месторождении Акжар Восточный функционирует по следующей схеме: Нефтегазовая смесь от скважин поступает на АГЗУ «Спутник АМ-40-8-1500» по выкидным трубопроводам диаметром 89 – 108 мм. Из АГЗУ, по групповой линии (коллектору) Ду 150 мм, нефтегазовая смесь с температурой 20 - 25°С, давлением 5 - 6 кг/см2 (изб.) поступает в нефтегазосепаратор 1-ой ступени А-01, далее разгазированная нефть поступает в нефтегазосепаратор 2-ой ступени А-02, где происходит окончательное отделение попутного газа. Обвязка нефтегазосепараторов предусмотрена таким образом, что нефтегазосепараторы могут работать как последовательно, так и параллельно или по раздельности, т.е. для целесообразности при профилактике или ремонте того или иного аппарата. Газ, отделившийся в процессе сепарации, направляется на факела закрытого типа (ФЗТ), ГПЭС, Capstone, ПП063 оставшийся газоконденсат улавливается попутно на газовой линии - факельным сепаратором ФС-1. Также на газовой линии предусмотрены конденсатосборники К-1/2, с которых газоконденсат отводится в подземную емкость сбора конденсата ДЕ-1. Дренаж от нефтегазосепаратора А-01 предусматривается в подземную дренажную емкость ДЕ-2, а с сепаратора второй ступени А-02 в дренажную емкость ДЕ-3, Разгазированная нефть от НГС А-01 и А-02 поступает в резервуарный парк хранения нефти где производится отстой нефти. Отстой или дренаж с резервуаров хранения нефти осуществляется в дренажную емкость ДЕ-5. Товарная нефть с резервуаров хранения с помощью насосов Н-1…6 через автоналивную установки С-01…04 отгружаются на автоцистерны и транспортируются потребителю.</w:t>
      </w:r>
    </w:p>
    <w:p w14:paraId="4C399450" w14:textId="77777777" w:rsidR="00465ACA" w:rsidRPr="00465ACA" w:rsidRDefault="00465ACA" w:rsidP="00465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ACA">
        <w:rPr>
          <w:rFonts w:ascii="Times New Roman" w:hAnsi="Times New Roman" w:cs="Times New Roman"/>
          <w:sz w:val="24"/>
          <w:szCs w:val="24"/>
        </w:rPr>
        <w:t xml:space="preserve">Факельная система ППН укомплектована факельной установкой закрытого типа (ФЗТ). Все сбросы, подаваемые на сжигание с установки, собираются в коллектор условным проходом Dу 100 мм. Для удаления жидкости, попадающей в факельный коллектор при сбросе газа, на факельном коллекторе перед факелом устанавливается конденсатосборник поз. К-1/2 условным проходом Dу 300 мм с выводом конденсата, по мере его накопления, в дренажную емкость сбора конденсата ДЕ-1. В комплект факельной установки входит блок управления с возможностью дистанционного розжига. Сигнал наличия пламени выводится </w:t>
      </w:r>
      <w:r w:rsidRPr="00465ACA">
        <w:rPr>
          <w:rFonts w:ascii="Times New Roman" w:hAnsi="Times New Roman" w:cs="Times New Roman"/>
          <w:sz w:val="24"/>
          <w:szCs w:val="24"/>
        </w:rPr>
        <w:lastRenderedPageBreak/>
        <w:t>в операторную. Технологическая схема ППН и испытания скважин представлена на рисунке в приложении.</w:t>
      </w:r>
    </w:p>
    <w:p w14:paraId="36D99449" w14:textId="32863414" w:rsidR="00465ACA" w:rsidRDefault="00465ACA" w:rsidP="00465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ACA">
        <w:rPr>
          <w:rFonts w:ascii="Times New Roman" w:hAnsi="Times New Roman" w:cs="Times New Roman"/>
          <w:sz w:val="24"/>
          <w:szCs w:val="24"/>
        </w:rPr>
        <w:t>В настоящее время на подсолевом месторождении Акжар Восточный попутнодобываемый газ используется на собственные нужды и на нужды подрядных организаций: Для выработки электроэнергии до 1МВт, используется микротурбинная генераторная установка марки С1000S Capstone; Для подогрева и поддержания температуры нефти в технологическом процессе подготовки используется печь подогрева типа ПП-0,63. Для поддержания температурного режима нефти в пределах 45-55 0С принято решение установить змеевики (теплообменники) в резервуары, которые будут поддерживать постоянный температурный режим нефти и с 01.05.2025 года планируется запуск теплообменников с газовыми горелками Olympia LTG -100 и Olympia LTG -200. (технические характеристики оборудования представлены в Приложении).</w:t>
      </w:r>
      <w:r w:rsidRPr="00465ACA">
        <w:t xml:space="preserve"> </w:t>
      </w:r>
      <w:r w:rsidRPr="00465ACA">
        <w:rPr>
          <w:rFonts w:ascii="Times New Roman" w:hAnsi="Times New Roman" w:cs="Times New Roman"/>
          <w:sz w:val="24"/>
          <w:szCs w:val="24"/>
        </w:rPr>
        <w:t>По программе развития территории Байганинского района с целью газификации населенных пунктов был построен подводящий газопровод к селам Жанатан, Булактыколь, Кемерши. ТОО «Altay Resources» в соответствии с договоренностью с акиматом обеспечивает три поселка газом. Общая протяженность газопровода - 42,1 км.Скважины эксплуатируются фонтанным способом на естественном режиме. На скважинах расположены устье скважины и блок монифольда. (Проектом не предусмотрены выбросы от скважинного хозяйства, так как отсутсвует контракт на недропользования, все источники не предусмотренные в нормативы выбросов ЗВ данным проектом, поставлены на консервацию).</w:t>
      </w:r>
    </w:p>
    <w:p w14:paraId="1437B37B" w14:textId="6CCE066E" w:rsidR="005F5879" w:rsidRPr="005F5879" w:rsidRDefault="005F5879" w:rsidP="00465AC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F587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5. Краткое описание существенных воздействий намечаемой деятельности на </w:t>
      </w:r>
    </w:p>
    <w:p w14:paraId="4CC33F8A" w14:textId="5484F556" w:rsidR="005F5879" w:rsidRDefault="005F5879" w:rsidP="005F587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F587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окружающую среду, включая воздействия на следующие природные компоненты и иные объекты:</w:t>
      </w:r>
    </w:p>
    <w:p w14:paraId="6638F034" w14:textId="77777777" w:rsidR="005F5879" w:rsidRPr="00854F77" w:rsidRDefault="005F5879" w:rsidP="005F587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4F7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жизнь и (или) здоровье людей, условия их проживания и деятельности </w:t>
      </w:r>
    </w:p>
    <w:p w14:paraId="73F27298" w14:textId="31E21695" w:rsidR="00854F77" w:rsidRPr="00854F77" w:rsidRDefault="007E4C9E" w:rsidP="00854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93971736"/>
      <w:r>
        <w:rPr>
          <w:rFonts w:ascii="Times New Roman" w:hAnsi="Times New Roman" w:cs="Times New Roman"/>
          <w:sz w:val="24"/>
          <w:szCs w:val="24"/>
        </w:rPr>
        <w:t>Н</w:t>
      </w:r>
      <w:r w:rsidR="00854F77" w:rsidRPr="00854F77">
        <w:rPr>
          <w:rFonts w:ascii="Times New Roman" w:hAnsi="Times New Roman" w:cs="Times New Roman"/>
          <w:sz w:val="24"/>
          <w:szCs w:val="24"/>
        </w:rPr>
        <w:t>а границе СЗЗ показал отсутствие превышений нормативных показателей, рекомендуется регулярно производить мониторинг технологических процессов с целью недопущения отклонений от регламента производства, своевременно осуществлять плановый ремонт существующих механизмов.</w:t>
      </w:r>
    </w:p>
    <w:p w14:paraId="37232057" w14:textId="77777777" w:rsidR="00854F77" w:rsidRPr="00854F77" w:rsidRDefault="00854F77" w:rsidP="00854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Соблюдение технологии работ и техники безопасности позволит избежать нештатных ситуаций, сверхнормативных выбросов и превышения показателей гигиенических нормативов на границе санитарно-защитной зоны.</w:t>
      </w:r>
    </w:p>
    <w:p w14:paraId="599C6B77" w14:textId="77777777" w:rsidR="00854F77" w:rsidRPr="00854F77" w:rsidRDefault="00854F77" w:rsidP="00854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В период строительных работ также предусмотрены мероприятия организационного характера: регулярный текущий ремонт применяемого оборудования с целью недопущения возникновения аварийных ситуаций; обследование территории на соответствие санитарным и экологическим требованиям.</w:t>
      </w:r>
    </w:p>
    <w:p w14:paraId="60D3A778" w14:textId="77777777" w:rsidR="00854F77" w:rsidRPr="00854F77" w:rsidRDefault="00854F77" w:rsidP="00854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В проекте заложены мероприятия и средства на организацию и благоустройство территории, в результате которых загазованность воздуха значительно снижается.</w:t>
      </w:r>
    </w:p>
    <w:p w14:paraId="32CC8E5F" w14:textId="77777777" w:rsidR="00854F77" w:rsidRPr="00854F77" w:rsidRDefault="00854F77" w:rsidP="00854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В целом, химическое и физическое воздействия на состояние окружающей природной среды от проводимых работ, подтвержденные расчетами приземных концентраций, уровня шума на рабочих местах, не превышающие допустимые значения, будет незначительным.</w:t>
      </w:r>
    </w:p>
    <w:p w14:paraId="6C7E9BF0" w14:textId="77777777" w:rsidR="00854F77" w:rsidRPr="00854F77" w:rsidRDefault="00854F77" w:rsidP="00854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Планируемые работы, не приведут к значительному загрязнению окружающей природной среды, что не скажется негативно на здоровье населения.</w:t>
      </w:r>
    </w:p>
    <w:p w14:paraId="503146B0" w14:textId="77777777" w:rsidR="00854F77" w:rsidRPr="00854F77" w:rsidRDefault="00854F77" w:rsidP="00854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Будут предусмотрены все необходимые меры для обеспечения нормальных санитарно- гигиенических условий работы и отдыха персонала, его медицинского обслуживания.</w:t>
      </w:r>
    </w:p>
    <w:p w14:paraId="0D71BB90" w14:textId="77777777" w:rsidR="00854F77" w:rsidRPr="00854F77" w:rsidRDefault="00854F77" w:rsidP="00854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Все работники пройдут необходимую вакцинацию и инструктаж по соблюдению правил личной гигиены, с учетом региональных особенностей, поэтому повышение эпидемиологического риска в районе работ маловероятно.</w:t>
      </w:r>
    </w:p>
    <w:p w14:paraId="2914F70C" w14:textId="16056642" w:rsidR="004C1B86" w:rsidRDefault="00854F77" w:rsidP="00854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Привлечение местных трудовых ресурсов снижает вероятность заболеваний среди рабочих, адаптированных к местным климатическим условиям, а также уменьшает риск при внесения инфекционных заболеваний из других регионов.</w:t>
      </w:r>
    </w:p>
    <w:p w14:paraId="7FB42264" w14:textId="77777777" w:rsidR="00854F77" w:rsidRDefault="00854F77" w:rsidP="00854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30B004" w14:textId="3C6D2372" w:rsidR="00854F77" w:rsidRPr="00854F77" w:rsidRDefault="00854F77" w:rsidP="00854F7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4F77"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>Б</w:t>
      </w:r>
      <w:r w:rsidRPr="00854F7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иоразнообразие (в том числе растительный и животный мир, генетические ресурсы, природные ареалы растений и диких животных, пути миграции диких животных, экосистемы);</w:t>
      </w:r>
    </w:p>
    <w:p w14:paraId="7D0220D6" w14:textId="5661022C" w:rsidR="00854F77" w:rsidRPr="00854F77" w:rsidRDefault="00854F77" w:rsidP="00854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lastRenderedPageBreak/>
        <w:t xml:space="preserve">Согласно данным, Актюбинская областная территориальная инспекция лесного хозяйства и животного мира, рассмотрев проект ГУ «Отдел жилищно-коммунального хозяйства пассажирского транспорта и автомобильных дорог города Актобе» - </w:t>
      </w:r>
      <w:r w:rsidR="007E4C9E" w:rsidRPr="007E4C9E">
        <w:rPr>
          <w:rFonts w:ascii="Times New Roman" w:hAnsi="Times New Roman" w:cs="Times New Roman"/>
          <w:sz w:val="24"/>
          <w:szCs w:val="24"/>
        </w:rPr>
        <w:t>«Корректировка проекта нормативов допустимых выбросов загрязняющих веществ в атмосферный воздух от объектов месторождения Акжар Восточный ТОО «Altay Resources» на период с 01.05.2025 по 31.12.2025 гг. Программа управления отходами (ПУО), Программа экологического контроля (ПЭК), План природоохранных мероприятий (ППМ)»</w:t>
      </w:r>
      <w:r w:rsidR="007E4C9E">
        <w:rPr>
          <w:rFonts w:ascii="Times New Roman" w:hAnsi="Times New Roman" w:cs="Times New Roman"/>
          <w:sz w:val="24"/>
          <w:szCs w:val="24"/>
        </w:rPr>
        <w:t xml:space="preserve"> </w:t>
      </w:r>
      <w:r w:rsidRPr="00854F77">
        <w:rPr>
          <w:rFonts w:ascii="Times New Roman" w:hAnsi="Times New Roman" w:cs="Times New Roman"/>
          <w:sz w:val="24"/>
          <w:szCs w:val="24"/>
        </w:rPr>
        <w:t>Согласно данным РГКП «Казахское лесоустроительное предприятие» Комитета лесного хозяйства и животного мира, представленные географические координаты расположены за пределами земель государственного лесного фонда Актюбинской области и особо охраняемых природных территорий.</w:t>
      </w:r>
    </w:p>
    <w:p w14:paraId="55B2B82A" w14:textId="77777777" w:rsidR="00854F77" w:rsidRPr="00854F77" w:rsidRDefault="00854F77" w:rsidP="00854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Поскольку проектируемая территория находится в жилом массиве Актюбинской области, г. Актобе, на стройплощадке нет животных и птиц.</w:t>
      </w:r>
    </w:p>
    <w:p w14:paraId="444FF800" w14:textId="77777777" w:rsidR="00854F77" w:rsidRPr="00854F77" w:rsidRDefault="00854F77" w:rsidP="00854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Сообщаем, что, поскольку участки дорожного строительства находятся внутри населенного пункта, при проведении работ планируется вырубка леса, при проведении работ за пределами территории государственного лесного фонда, вопросы сносов (рубок, покосов) деревьев и кустарников, должны быть согласованы с местными исполнительными органами. Данная процедура регламентируется правилами создания, содержания и охраны зеленых насаждений населенных пунктов Актюбинской области (решение Актюбинского областного маслихата от 29 сентября 2023 года № 57).</w:t>
      </w:r>
    </w:p>
    <w:p w14:paraId="4AEA028C" w14:textId="77777777" w:rsidR="00854F77" w:rsidRPr="00854F77" w:rsidRDefault="00854F77" w:rsidP="00854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Согласно акту обследования территории проводимым уполномоченным органом при обследовании территории строительства установлено следующие:</w:t>
      </w:r>
    </w:p>
    <w:p w14:paraId="0E7099F1" w14:textId="77777777" w:rsidR="00854F77" w:rsidRPr="00854F77" w:rsidRDefault="00854F77" w:rsidP="00854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При выездном осмотре территории строительства выявлено, что на отведенном строительстве земельном участке имеются 487 деревьев.  При вырубке деревьев необходимо разрешение уполномоченного органа. В соответствии с Правилами содержания и защиты зеленых насаждений на территориях городов и населенных пунктов Актюбинской области компенсационная посадка деревьев производится путем посадки саженцев лиственных пород высотой не менее 2,5 метров с комом или хвойных пород высотой не менее 2 метров с комом. Диаметр ствола от верхней корневой системы саженцев не менее 3 сантиметров, на высоте 1,3 метра стволовой части.</w:t>
      </w:r>
    </w:p>
    <w:p w14:paraId="5C33DA2E" w14:textId="10CE674E" w:rsidR="00854F77" w:rsidRPr="00854F77" w:rsidRDefault="00854F77" w:rsidP="00854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Физические и юридические лица в течение трех лет (период приживаемости саженца дерева) с момента компенсационной посадки проводят мероприятия по содержанию и защите саженцев.</w:t>
      </w:r>
    </w:p>
    <w:p w14:paraId="4E7F617E" w14:textId="0D48A938" w:rsidR="00854F77" w:rsidRDefault="00854F77" w:rsidP="00854F7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EE140A8" w14:textId="77777777" w:rsidR="00854F77" w:rsidRPr="00854F77" w:rsidRDefault="00854F77" w:rsidP="00854F77">
      <w:pPr>
        <w:pStyle w:val="1"/>
        <w:keepNext/>
        <w:numPr>
          <w:ilvl w:val="0"/>
          <w:numId w:val="0"/>
        </w:numPr>
        <w:tabs>
          <w:tab w:val="left" w:pos="1134"/>
        </w:tabs>
        <w:spacing w:after="120"/>
        <w:ind w:right="434"/>
        <w:jc w:val="both"/>
        <w:rPr>
          <w:i/>
          <w:iCs/>
        </w:rPr>
      </w:pPr>
      <w:r w:rsidRPr="00854F77">
        <w:rPr>
          <w:i/>
          <w:iCs/>
        </w:rPr>
        <w:t>Земли (в том числе изъятие земель), почвы (в том числе включая органический</w:t>
      </w:r>
      <w:r w:rsidRPr="00854F77">
        <w:t xml:space="preserve"> </w:t>
      </w:r>
      <w:r w:rsidRPr="00854F77">
        <w:rPr>
          <w:i/>
          <w:iCs/>
        </w:rPr>
        <w:t>состав, эрозию, уплотнение, иные формы деградации)</w:t>
      </w:r>
    </w:p>
    <w:p w14:paraId="527A6823" w14:textId="77777777" w:rsidR="00854F77" w:rsidRPr="00854F77" w:rsidRDefault="00854F77" w:rsidP="00854F77">
      <w:pPr>
        <w:pStyle w:val="a3"/>
        <w:keepNext/>
        <w:ind w:right="437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Изъятие земель не осуществляется.</w:t>
      </w:r>
    </w:p>
    <w:p w14:paraId="3CF9F157" w14:textId="77777777" w:rsidR="00854F77" w:rsidRPr="00854F77" w:rsidRDefault="00854F77" w:rsidP="00854F77">
      <w:pPr>
        <w:pStyle w:val="a3"/>
        <w:keepNext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В геологическом строении района проектируемой автодороги участвуют отложения мезозоя (юра, мел) и четвертичные отложения. Мезозойские отложения представлены темно-серыми и красно-коричневыми глинами, иногда с прослоями песков. Они перекрыты с поверхности четвертичными отложениями, представленными в нижней части песчано-гравийным аллювием третьей террасы, а сверху чехлом делювиальных суглинков и глин темно-коричневого цвета. Мощность четвертичных отложений – 5-10м.</w:t>
      </w:r>
    </w:p>
    <w:p w14:paraId="5BAC5C4A" w14:textId="77777777" w:rsidR="00854F77" w:rsidRPr="00854F77" w:rsidRDefault="00854F77" w:rsidP="00854F77">
      <w:pPr>
        <w:pStyle w:val="a3"/>
        <w:keepNext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На всех проектируемых улицах отсутствует твердое асфальтобетонное покрытие. Поверхность сложена насыпными грунтами и щебнем. На некоторых улицах с поверхности вскрыт почвенно-растительный слой (см.Продольные профили).</w:t>
      </w:r>
    </w:p>
    <w:p w14:paraId="7E5D59DF" w14:textId="177171BE" w:rsidR="00854F77" w:rsidRPr="00854F77" w:rsidRDefault="00854F77" w:rsidP="00854F77">
      <w:pPr>
        <w:pStyle w:val="a3"/>
        <w:keepNext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Для определения физико-механических свойств грунтов под строительство мостов были пр</w:t>
      </w:r>
      <w:r>
        <w:rPr>
          <w:rFonts w:ascii="Times New Roman" w:hAnsi="Times New Roman" w:cs="Times New Roman"/>
          <w:sz w:val="24"/>
          <w:szCs w:val="24"/>
          <w:lang w:val="kk-KZ"/>
        </w:rPr>
        <w:t>о</w:t>
      </w:r>
      <w:r w:rsidRPr="00854F77">
        <w:rPr>
          <w:rFonts w:ascii="Times New Roman" w:hAnsi="Times New Roman" w:cs="Times New Roman"/>
          <w:sz w:val="24"/>
          <w:szCs w:val="24"/>
        </w:rPr>
        <w:t>бурены скважины глубиной по 20,0 п.м с отбором проб грунта и воды. По результатам лаборатор- ных анализов приведены характеристики физических свойств грунтов, деформационные и проч- ностные характеристики согласно СП РК 5.01-102-</w:t>
      </w:r>
      <w:r w:rsidRPr="00854F77">
        <w:rPr>
          <w:rFonts w:ascii="Times New Roman" w:hAnsi="Times New Roman" w:cs="Times New Roman"/>
          <w:sz w:val="24"/>
          <w:szCs w:val="24"/>
        </w:rPr>
        <w:lastRenderedPageBreak/>
        <w:t>2013. Условные сопротивления грунтов опреде- лены согласно СП РК 3.03.103-2013 прил. Ю табл. Ю. 1- Ю.З. Грунты в основном представлены как супесь пылеватая, суглинок тяжелый пылеватый. Грунты участка незасоленные, неагрессивны на конструкции из бетона и железобетона по содержанию сульфатов и хлоридов.</w:t>
      </w:r>
    </w:p>
    <w:p w14:paraId="5E4DBBCB" w14:textId="77777777" w:rsidR="00854F77" w:rsidRPr="00854F77" w:rsidRDefault="00854F77" w:rsidP="00854F77">
      <w:pPr>
        <w:pStyle w:val="a3"/>
        <w:keepNext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Грунты пригодны в качестве основания дорожной одежды. Типы грунтов по трассе вынесены на продольный профиль, физико-механические свойства грунтов приводятся в ведомости строительных свойств.</w:t>
      </w:r>
    </w:p>
    <w:p w14:paraId="672A3748" w14:textId="77777777" w:rsidR="00854F77" w:rsidRPr="00854F77" w:rsidRDefault="00854F77" w:rsidP="00854F77">
      <w:pPr>
        <w:pStyle w:val="1"/>
        <w:keepNext/>
        <w:numPr>
          <w:ilvl w:val="0"/>
          <w:numId w:val="0"/>
        </w:numPr>
        <w:tabs>
          <w:tab w:val="left" w:pos="1134"/>
        </w:tabs>
        <w:spacing w:after="120"/>
        <w:ind w:right="434"/>
        <w:jc w:val="both"/>
        <w:rPr>
          <w:i/>
          <w:iCs/>
        </w:rPr>
      </w:pPr>
      <w:r w:rsidRPr="00854F77">
        <w:rPr>
          <w:i/>
          <w:iCs/>
        </w:rPr>
        <w:t>Воды (в том числе гидроморфологические изменения, количество и качество вод)</w:t>
      </w:r>
    </w:p>
    <w:p w14:paraId="5997AB82" w14:textId="77777777" w:rsidR="00854F77" w:rsidRPr="00854F77" w:rsidRDefault="00854F77" w:rsidP="00854F77">
      <w:pPr>
        <w:keepNext/>
        <w:spacing w:after="120"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 xml:space="preserve">Согласно п.п. 7 п. 2 Правил установления водоохранных зон и полос утвержденных Приказом Министра сельского хозяйства от 18 мая 2015 года № 19-1/446  Минимальная ширина водоохранных зон по каждому берегу принимается от уреза воды при среднемноголетнем меженном уровне до уреза воды при среднемноголетнем уровне в период половодья (включая пойму реки, надпойменные террасы, крутые склоны коренных берегов, овраги и балки) и плюс следующие дополнительные расстояния: </w:t>
      </w:r>
    </w:p>
    <w:p w14:paraId="2A9B78B6" w14:textId="77777777" w:rsidR="00854F77" w:rsidRPr="00854F77" w:rsidRDefault="00854F77" w:rsidP="00854F77">
      <w:pPr>
        <w:keepNext/>
        <w:spacing w:after="120"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•</w:t>
      </w:r>
      <w:r w:rsidRPr="00854F77">
        <w:rPr>
          <w:rFonts w:ascii="Times New Roman" w:hAnsi="Times New Roman" w:cs="Times New Roman"/>
          <w:sz w:val="24"/>
          <w:szCs w:val="24"/>
        </w:rPr>
        <w:tab/>
        <w:t>для малых рек (длиной до 200 км) – 500 м;</w:t>
      </w:r>
    </w:p>
    <w:p w14:paraId="2972B9D5" w14:textId="77777777" w:rsidR="00854F77" w:rsidRPr="00854F77" w:rsidRDefault="00854F77" w:rsidP="00854F77">
      <w:pPr>
        <w:keepNext/>
        <w:spacing w:after="120"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•</w:t>
      </w:r>
      <w:r w:rsidRPr="00854F77">
        <w:rPr>
          <w:rFonts w:ascii="Times New Roman" w:hAnsi="Times New Roman" w:cs="Times New Roman"/>
          <w:sz w:val="24"/>
          <w:szCs w:val="24"/>
        </w:rPr>
        <w:tab/>
        <w:t xml:space="preserve">для остальных рек: </w:t>
      </w:r>
    </w:p>
    <w:p w14:paraId="314FE072" w14:textId="77777777" w:rsidR="00854F77" w:rsidRPr="00854F77" w:rsidRDefault="00854F77" w:rsidP="00854F77">
      <w:pPr>
        <w:keepNext/>
        <w:spacing w:after="120"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•</w:t>
      </w:r>
      <w:r w:rsidRPr="00854F77">
        <w:rPr>
          <w:rFonts w:ascii="Times New Roman" w:hAnsi="Times New Roman" w:cs="Times New Roman"/>
          <w:sz w:val="24"/>
          <w:szCs w:val="24"/>
        </w:rPr>
        <w:tab/>
        <w:t xml:space="preserve">с простыми условиями хозяйственного использования и благоприятной экологической обстановкой на водосборе – 500 м; </w:t>
      </w:r>
    </w:p>
    <w:p w14:paraId="60623481" w14:textId="77777777" w:rsidR="00854F77" w:rsidRPr="00854F77" w:rsidRDefault="00854F77" w:rsidP="00854F77">
      <w:pPr>
        <w:keepNext/>
        <w:spacing w:after="120"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Расположение участка строительства находится за пределами водоохранных зоны и полосы рек и притоков. Все работы будут проводиться за пределами водоохранных полосы и зоны рек и притоков. Ввиду этого воздействие намечаемой деятельности на поверхностные воды будет минимальным.</w:t>
      </w:r>
    </w:p>
    <w:p w14:paraId="32851075" w14:textId="77777777" w:rsidR="00854F77" w:rsidRPr="00854F77" w:rsidRDefault="00854F77" w:rsidP="00854F77">
      <w:pPr>
        <w:keepNext/>
        <w:spacing w:after="120"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Проектом не предусматривается забор воды из рек без разрешения местных исполнительных органов власти. Проектом также не предусматривается сброс хозяйственно-бытовых стоков в поверхностные водоисточники или пониженные места рельефа местности.</w:t>
      </w:r>
    </w:p>
    <w:p w14:paraId="35D518F1" w14:textId="77777777" w:rsidR="00854F77" w:rsidRPr="00854F77" w:rsidRDefault="00854F77" w:rsidP="00854F77">
      <w:pPr>
        <w:keepNext/>
        <w:spacing w:after="120"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Также следует отметить, что в соответствии с п. 4 ст. 10 Водного кодекса РК «отношения, возникающие в области геологического изучения, разведки и комплексного освоения недр, охраны подземных вод и подземных сооружений от вредного воздействия вод, подчиняются режиму недр и регулируются соответствующим законодательством Республики Казахстан в области недр и недропользования, о гражданской защите, за исключением пунктов 3 и 4 статьи 66 настоящего Кодекса.»</w:t>
      </w:r>
    </w:p>
    <w:p w14:paraId="4B2AB77B" w14:textId="77777777" w:rsidR="00854F77" w:rsidRPr="00854F77" w:rsidRDefault="00854F77" w:rsidP="00854F77">
      <w:pPr>
        <w:pStyle w:val="a3"/>
        <w:keepNext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Мойка машин и механизмов на территории участка не допускается. На проектируемой территории хоз-бытовые сточные воды будут накапливаться в биотуалет и по мере накопления передаваться специализированным организациям на договорной основе.</w:t>
      </w:r>
    </w:p>
    <w:p w14:paraId="40CDD308" w14:textId="77777777" w:rsidR="00854F77" w:rsidRPr="00854F77" w:rsidRDefault="00854F77" w:rsidP="00854F77">
      <w:pPr>
        <w:pStyle w:val="a3"/>
        <w:keepNext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С целью исключения засорения и загрязнения поверхностных вод, предусматривается мероприятия по предотвращению воздействия образующихся отходов производства и потребления.</w:t>
      </w:r>
    </w:p>
    <w:p w14:paraId="3325C295" w14:textId="77777777" w:rsidR="00854F77" w:rsidRPr="00854F77" w:rsidRDefault="00854F77" w:rsidP="00854F77">
      <w:pPr>
        <w:pStyle w:val="a3"/>
        <w:keepNext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 xml:space="preserve">Твѐрдо-бытовые отходы будут собираться в закрытые баки-контейнеры, располагаемые на оборудованной площадке и в дальнейшем вывозиться на ближайший полигон ТБО согласно договора. С целью исключения засорения водных объектов в процессе осуществления намечаемой деятельности предусматривается проведение </w:t>
      </w:r>
      <w:r w:rsidRPr="00854F77">
        <w:rPr>
          <w:rFonts w:ascii="Times New Roman" w:hAnsi="Times New Roman" w:cs="Times New Roman"/>
          <w:sz w:val="24"/>
          <w:szCs w:val="24"/>
        </w:rPr>
        <w:lastRenderedPageBreak/>
        <w:t>плановой уборки территории. Не допускается открытое размещение отходов на территории участка.</w:t>
      </w:r>
    </w:p>
    <w:p w14:paraId="4AA69E74" w14:textId="77777777" w:rsidR="00854F77" w:rsidRPr="00854F77" w:rsidRDefault="00854F77" w:rsidP="00854F77">
      <w:pPr>
        <w:pStyle w:val="a3"/>
        <w:keepNext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Таким образом, засорение и загрязнения водных объектов района исключено.</w:t>
      </w:r>
    </w:p>
    <w:p w14:paraId="75199730" w14:textId="77777777" w:rsidR="00854F77" w:rsidRPr="00854F77" w:rsidRDefault="00854F77" w:rsidP="00854F77">
      <w:pPr>
        <w:pStyle w:val="a3"/>
        <w:keepNext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Общее воздействие намечаемой деятельности на поверхностную водную среду оценивается низкой значимостью воздействия (допустимое).</w:t>
      </w:r>
    </w:p>
    <w:p w14:paraId="71C9FE7A" w14:textId="77777777" w:rsidR="00854F77" w:rsidRPr="00854F77" w:rsidRDefault="00854F77" w:rsidP="00854F77">
      <w:pPr>
        <w:pStyle w:val="a3"/>
        <w:keepNext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Намечаемая деятельность не окажет дополнительного воздействия на поверхностные воды района расположения объекта. Непосредственное воздействие на водный бассейн при реализации проектных решений исключается.</w:t>
      </w:r>
    </w:p>
    <w:p w14:paraId="6D3479D7" w14:textId="77777777" w:rsidR="00854F77" w:rsidRPr="00854F77" w:rsidRDefault="00854F77" w:rsidP="00854F77">
      <w:pPr>
        <w:pStyle w:val="a3"/>
        <w:keepNext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Проведение дополнительного экологического мониторинга поверхностных вод при реализации проектных решений не предусматривается.</w:t>
      </w:r>
    </w:p>
    <w:p w14:paraId="11332020" w14:textId="77777777" w:rsidR="00854F77" w:rsidRPr="00854F77" w:rsidRDefault="00854F77" w:rsidP="00854F77">
      <w:pPr>
        <w:pStyle w:val="a3"/>
        <w:keepNext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Таким образом, намечаемая деятельность вредного воздействия на качество подземных вод и вероятность их загрязнения не окажет. Общее воздействие намечаемой деятельности на подземные воды оценивается как допустимое (низкая значимость воздействия).</w:t>
      </w:r>
    </w:p>
    <w:p w14:paraId="71641834" w14:textId="77777777" w:rsidR="00854F77" w:rsidRPr="00854F77" w:rsidRDefault="00854F77" w:rsidP="00854F77">
      <w:pPr>
        <w:pStyle w:val="1"/>
        <w:keepNext/>
        <w:numPr>
          <w:ilvl w:val="0"/>
          <w:numId w:val="0"/>
        </w:numPr>
        <w:tabs>
          <w:tab w:val="left" w:pos="1134"/>
        </w:tabs>
        <w:spacing w:after="120"/>
        <w:ind w:right="434"/>
        <w:jc w:val="both"/>
        <w:rPr>
          <w:i/>
          <w:iCs/>
        </w:rPr>
      </w:pPr>
      <w:r w:rsidRPr="00854F77">
        <w:rPr>
          <w:i/>
          <w:iCs/>
        </w:rPr>
        <w:t>Атмосферный воздух (в том числе риски нарушения экологических нормативов его качества, целевых показателей качества, а при их отсутствии- ориентировочно безопасных уровней воздействия на него)</w:t>
      </w:r>
    </w:p>
    <w:p w14:paraId="379076FA" w14:textId="0C2D2395" w:rsidR="00854F77" w:rsidRPr="00854F77" w:rsidRDefault="00854F77" w:rsidP="00854F77">
      <w:pPr>
        <w:pStyle w:val="a3"/>
        <w:keepNext/>
        <w:ind w:right="434"/>
        <w:jc w:val="both"/>
        <w:rPr>
          <w:rFonts w:ascii="Times New Roman" w:hAnsi="Times New Roman" w:cs="Times New Roman"/>
          <w:sz w:val="24"/>
          <w:szCs w:val="24"/>
        </w:rPr>
      </w:pPr>
      <w:r w:rsidRPr="00854F77">
        <w:rPr>
          <w:rFonts w:ascii="Times New Roman" w:hAnsi="Times New Roman" w:cs="Times New Roman"/>
          <w:sz w:val="24"/>
          <w:szCs w:val="24"/>
        </w:rPr>
        <w:t>Риски нарушения экологических нормативов минимальны. Аварийных ситуаций и залповых выбросов которые могли бы существенно повлиять на окружающую среду в проектируемом строительстве нет.</w:t>
      </w:r>
    </w:p>
    <w:bookmarkEnd w:id="1"/>
    <w:p w14:paraId="2380557E" w14:textId="38BBB336" w:rsidR="00854F77" w:rsidRDefault="00854F77" w:rsidP="00854F77">
      <w:pPr>
        <w:spacing w:after="0" w:line="240" w:lineRule="auto"/>
        <w:jc w:val="both"/>
      </w:pPr>
    </w:p>
    <w:p w14:paraId="00E89E6A" w14:textId="77777777" w:rsidR="005F5879" w:rsidRPr="005F5879" w:rsidRDefault="005F5879" w:rsidP="005F5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6CDDA9" w14:textId="77777777" w:rsidR="005F5879" w:rsidRPr="005F5879" w:rsidRDefault="005F5879" w:rsidP="005F58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F5879" w:rsidRPr="005F5879" w:rsidSect="00854F7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53D1B"/>
    <w:multiLevelType w:val="hybridMultilevel"/>
    <w:tmpl w:val="4510CD82"/>
    <w:lvl w:ilvl="0" w:tplc="3446F170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2C82AA8"/>
    <w:multiLevelType w:val="hybridMultilevel"/>
    <w:tmpl w:val="5CDCF464"/>
    <w:lvl w:ilvl="0" w:tplc="780825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536CD5"/>
    <w:multiLevelType w:val="hybridMultilevel"/>
    <w:tmpl w:val="EDE866D6"/>
    <w:lvl w:ilvl="0" w:tplc="59F44DC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B3B"/>
    <w:multiLevelType w:val="hybridMultilevel"/>
    <w:tmpl w:val="27F8B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81BE7"/>
    <w:multiLevelType w:val="multilevel"/>
    <w:tmpl w:val="F02C6E38"/>
    <w:lvl w:ilvl="0">
      <w:start w:val="5"/>
      <w:numFmt w:val="decimal"/>
      <w:lvlText w:val="%1"/>
      <w:lvlJc w:val="left"/>
      <w:pPr>
        <w:ind w:left="480" w:hanging="865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480" w:hanging="865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80" w:hanging="865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87" w:hanging="8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9" w:hanging="8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4" w:hanging="8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6" w:hanging="8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9" w:hanging="865"/>
      </w:pPr>
      <w:rPr>
        <w:rFonts w:hint="default"/>
        <w:lang w:val="ru-RU" w:eastAsia="en-US" w:bidi="ar-SA"/>
      </w:rPr>
    </w:lvl>
  </w:abstractNum>
  <w:abstractNum w:abstractNumId="5" w15:restartNumberingAfterBreak="0">
    <w:nsid w:val="2F691CF0"/>
    <w:multiLevelType w:val="multilevel"/>
    <w:tmpl w:val="C0761532"/>
    <w:lvl w:ilvl="0">
      <w:start w:val="6"/>
      <w:numFmt w:val="decimal"/>
      <w:lvlText w:val="%1"/>
      <w:lvlJc w:val="left"/>
      <w:pPr>
        <w:ind w:left="1481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11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2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5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75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1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7" w:hanging="423"/>
      </w:pPr>
      <w:rPr>
        <w:rFonts w:hint="default"/>
        <w:lang w:val="ru-RU" w:eastAsia="en-US" w:bidi="ar-SA"/>
      </w:rPr>
    </w:lvl>
  </w:abstractNum>
  <w:abstractNum w:abstractNumId="6" w15:restartNumberingAfterBreak="0">
    <w:nsid w:val="366637CD"/>
    <w:multiLevelType w:val="hybridMultilevel"/>
    <w:tmpl w:val="C4187BDC"/>
    <w:lvl w:ilvl="0" w:tplc="3446F170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E5C6677"/>
    <w:multiLevelType w:val="hybridMultilevel"/>
    <w:tmpl w:val="410A98C8"/>
    <w:lvl w:ilvl="0" w:tplc="28665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247F84"/>
    <w:multiLevelType w:val="hybridMultilevel"/>
    <w:tmpl w:val="9F9A6C24"/>
    <w:lvl w:ilvl="0" w:tplc="3446F170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0082C5B"/>
    <w:multiLevelType w:val="hybridMultilevel"/>
    <w:tmpl w:val="BF6072E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10" w15:restartNumberingAfterBreak="0">
    <w:nsid w:val="70720528"/>
    <w:multiLevelType w:val="hybridMultilevel"/>
    <w:tmpl w:val="005C1B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71E06E5"/>
    <w:multiLevelType w:val="hybridMultilevel"/>
    <w:tmpl w:val="2370CE62"/>
    <w:lvl w:ilvl="0" w:tplc="04190001">
      <w:start w:val="1"/>
      <w:numFmt w:val="bullet"/>
      <w:pStyle w:val="1"/>
      <w:lvlText w:val=""/>
      <w:lvlJc w:val="left"/>
      <w:pPr>
        <w:ind w:left="480" w:hanging="135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69F42B64">
      <w:numFmt w:val="bullet"/>
      <w:pStyle w:val="2"/>
      <w:lvlText w:val="•"/>
      <w:lvlJc w:val="left"/>
      <w:pPr>
        <w:ind w:left="1482" w:hanging="135"/>
      </w:pPr>
      <w:rPr>
        <w:rFonts w:hint="default"/>
        <w:lang w:val="ru-RU" w:eastAsia="en-US" w:bidi="ar-SA"/>
      </w:rPr>
    </w:lvl>
    <w:lvl w:ilvl="2" w:tplc="F24A9242">
      <w:numFmt w:val="bullet"/>
      <w:pStyle w:val="3"/>
      <w:lvlText w:val="•"/>
      <w:lvlJc w:val="left"/>
      <w:pPr>
        <w:ind w:left="2484" w:hanging="135"/>
      </w:pPr>
      <w:rPr>
        <w:rFonts w:hint="default"/>
        <w:lang w:val="ru-RU" w:eastAsia="en-US" w:bidi="ar-SA"/>
      </w:rPr>
    </w:lvl>
    <w:lvl w:ilvl="3" w:tplc="55D06480">
      <w:numFmt w:val="bullet"/>
      <w:pStyle w:val="4"/>
      <w:lvlText w:val="•"/>
      <w:lvlJc w:val="left"/>
      <w:pPr>
        <w:ind w:left="3487" w:hanging="135"/>
      </w:pPr>
      <w:rPr>
        <w:rFonts w:hint="default"/>
        <w:lang w:val="ru-RU" w:eastAsia="en-US" w:bidi="ar-SA"/>
      </w:rPr>
    </w:lvl>
    <w:lvl w:ilvl="4" w:tplc="D8781BA2">
      <w:numFmt w:val="bullet"/>
      <w:pStyle w:val="5"/>
      <w:lvlText w:val="•"/>
      <w:lvlJc w:val="left"/>
      <w:pPr>
        <w:ind w:left="4489" w:hanging="135"/>
      </w:pPr>
      <w:rPr>
        <w:rFonts w:hint="default"/>
        <w:lang w:val="ru-RU" w:eastAsia="en-US" w:bidi="ar-SA"/>
      </w:rPr>
    </w:lvl>
    <w:lvl w:ilvl="5" w:tplc="82CA090A">
      <w:numFmt w:val="bullet"/>
      <w:pStyle w:val="6"/>
      <w:lvlText w:val="•"/>
      <w:lvlJc w:val="left"/>
      <w:pPr>
        <w:ind w:left="5492" w:hanging="135"/>
      </w:pPr>
      <w:rPr>
        <w:rFonts w:hint="default"/>
        <w:lang w:val="ru-RU" w:eastAsia="en-US" w:bidi="ar-SA"/>
      </w:rPr>
    </w:lvl>
    <w:lvl w:ilvl="6" w:tplc="1EF4CBAA">
      <w:numFmt w:val="bullet"/>
      <w:pStyle w:val="7"/>
      <w:lvlText w:val="•"/>
      <w:lvlJc w:val="left"/>
      <w:pPr>
        <w:ind w:left="6494" w:hanging="135"/>
      </w:pPr>
      <w:rPr>
        <w:rFonts w:hint="default"/>
        <w:lang w:val="ru-RU" w:eastAsia="en-US" w:bidi="ar-SA"/>
      </w:rPr>
    </w:lvl>
    <w:lvl w:ilvl="7" w:tplc="DE504B8E">
      <w:numFmt w:val="bullet"/>
      <w:pStyle w:val="8"/>
      <w:lvlText w:val="•"/>
      <w:lvlJc w:val="left"/>
      <w:pPr>
        <w:ind w:left="7496" w:hanging="135"/>
      </w:pPr>
      <w:rPr>
        <w:rFonts w:hint="default"/>
        <w:lang w:val="ru-RU" w:eastAsia="en-US" w:bidi="ar-SA"/>
      </w:rPr>
    </w:lvl>
    <w:lvl w:ilvl="8" w:tplc="08AABEAA">
      <w:numFmt w:val="bullet"/>
      <w:pStyle w:val="9"/>
      <w:lvlText w:val="•"/>
      <w:lvlJc w:val="left"/>
      <w:pPr>
        <w:ind w:left="8499" w:hanging="135"/>
      </w:pPr>
      <w:rPr>
        <w:rFonts w:hint="default"/>
        <w:lang w:val="ru-RU" w:eastAsia="en-US" w:bidi="ar-SA"/>
      </w:rPr>
    </w:lvl>
  </w:abstractNum>
  <w:abstractNum w:abstractNumId="12" w15:restartNumberingAfterBreak="0">
    <w:nsid w:val="7E2816D6"/>
    <w:multiLevelType w:val="hybridMultilevel"/>
    <w:tmpl w:val="7A3E3904"/>
    <w:lvl w:ilvl="0" w:tplc="C5FE24D4">
      <w:start w:val="1"/>
      <w:numFmt w:val="bullet"/>
      <w:lvlText w:val=""/>
      <w:lvlJc w:val="left"/>
      <w:pPr>
        <w:tabs>
          <w:tab w:val="num" w:pos="1578"/>
        </w:tabs>
        <w:ind w:left="1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7"/>
  </w:num>
  <w:num w:numId="5">
    <w:abstractNumId w:val="12"/>
  </w:num>
  <w:num w:numId="6">
    <w:abstractNumId w:val="4"/>
  </w:num>
  <w:num w:numId="7">
    <w:abstractNumId w:val="1"/>
  </w:num>
  <w:num w:numId="8">
    <w:abstractNumId w:val="10"/>
  </w:num>
  <w:num w:numId="9">
    <w:abstractNumId w:val="6"/>
  </w:num>
  <w:num w:numId="10">
    <w:abstractNumId w:val="0"/>
  </w:num>
  <w:num w:numId="11">
    <w:abstractNumId w:val="8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BEE"/>
    <w:rsid w:val="00002978"/>
    <w:rsid w:val="0006437A"/>
    <w:rsid w:val="000D5D55"/>
    <w:rsid w:val="001D263D"/>
    <w:rsid w:val="00256539"/>
    <w:rsid w:val="003A0B08"/>
    <w:rsid w:val="00465ACA"/>
    <w:rsid w:val="00466691"/>
    <w:rsid w:val="004C1B86"/>
    <w:rsid w:val="005F5879"/>
    <w:rsid w:val="006372CA"/>
    <w:rsid w:val="00737BEE"/>
    <w:rsid w:val="007E4C9E"/>
    <w:rsid w:val="00854F77"/>
    <w:rsid w:val="00AA1455"/>
    <w:rsid w:val="00AA346B"/>
    <w:rsid w:val="00FA47BE"/>
    <w:rsid w:val="00FE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E316C"/>
  <w15:chartTrackingRefBased/>
  <w15:docId w15:val="{2AD170F7-3E4D-46FA-8963-750FC2EA8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1,Titolo 1 Carattere,Modulo,Hoofdstuk,ALK_K1,Heading 1_ARGOSS,Заголовок 1 Знак1 Знак,Заголовок 1 Знак2 Знак Знак,Заголовок 1 Знак Знак1 Знак Знак,Заголовок 1 Знак1 Знак Знак Знак Знак,Заголовок 1 Знак Знак Знак Знак Знак Знак,h1, РАЗДЕЛ"/>
    <w:basedOn w:val="a"/>
    <w:link w:val="10"/>
    <w:qFormat/>
    <w:rsid w:val="005F5879"/>
    <w:pPr>
      <w:widowControl w:val="0"/>
      <w:numPr>
        <w:numId w:val="12"/>
      </w:numPr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aliases w:val="Обычный+подчеркивание,一级条,_Heading 2,. (1.1),Section,Заголовок 2 Знак1 Знак,Заголовок 2 Знак Знак Знак,Заголовок 2 Знак1 Знак Знак Знак,Заголовок 2 Знак Знак Знак Знак Знак1,Заголовок 2 Знак1 Знак Знак Знак Знак Знак"/>
    <w:basedOn w:val="a"/>
    <w:link w:val="20"/>
    <w:qFormat/>
    <w:rsid w:val="005F5879"/>
    <w:pPr>
      <w:widowControl w:val="0"/>
      <w:numPr>
        <w:ilvl w:val="1"/>
        <w:numId w:val="12"/>
      </w:numPr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 w:color="000000"/>
    </w:rPr>
  </w:style>
  <w:style w:type="paragraph" w:styleId="3">
    <w:name w:val="heading 3"/>
    <w:aliases w:val="Заголовок 3 Знак1,Заголовок 3 Знак Знак,RSKH3,B Head,Subparagraaf,Заголовок 3 Знак Знак1 Знак,Заголовок 3 Знак Знак2,KAAE3,Level 1 - 1,Minor,1.1.1,标题03"/>
    <w:basedOn w:val="a"/>
    <w:next w:val="a"/>
    <w:link w:val="30"/>
    <w:unhideWhenUsed/>
    <w:qFormat/>
    <w:rsid w:val="005F5879"/>
    <w:pPr>
      <w:keepNext/>
      <w:keepLines/>
      <w:widowControl w:val="0"/>
      <w:numPr>
        <w:ilvl w:val="2"/>
        <w:numId w:val="12"/>
      </w:numPr>
      <w:autoSpaceDE w:val="0"/>
      <w:autoSpaceDN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aliases w:val="RSKH4 Знак,C Head Знак,RSKH4,C Head, Подпункт,Заголовок 4 Знак+12pt,не полужирный,вправо,1.1.1.1"/>
    <w:basedOn w:val="a"/>
    <w:next w:val="a"/>
    <w:link w:val="40"/>
    <w:uiPriority w:val="9"/>
    <w:qFormat/>
    <w:rsid w:val="005F5879"/>
    <w:pPr>
      <w:keepNext/>
      <w:numPr>
        <w:ilvl w:val="3"/>
        <w:numId w:val="12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5">
    <w:name w:val="heading 5"/>
    <w:aliases w:val="RSKH5,D Head,Заголовок 5 Знак Знак Знак,Заголовок 5 Знак Знак Знак Знак Знак,Заголовок 51 Знак,Заголовок 5 Знак Знак1 Знак,Заголовок 52,Заголовок 5 Знак Знак2,Заголовок 5 Знак Знак Знак Знак1,Заголовок 511,Emphasis,Выделение1,表题"/>
    <w:basedOn w:val="a"/>
    <w:next w:val="a"/>
    <w:link w:val="50"/>
    <w:qFormat/>
    <w:rsid w:val="005F5879"/>
    <w:pPr>
      <w:keepNext/>
      <w:numPr>
        <w:ilvl w:val="4"/>
        <w:numId w:val="12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5F5879"/>
    <w:pPr>
      <w:keepNext/>
      <w:numPr>
        <w:ilvl w:val="5"/>
        <w:numId w:val="12"/>
      </w:numPr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F5879"/>
    <w:pPr>
      <w:keepNext/>
      <w:numPr>
        <w:ilvl w:val="6"/>
        <w:numId w:val="12"/>
      </w:numPr>
      <w:spacing w:after="0" w:line="240" w:lineRule="auto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5F5879"/>
    <w:pPr>
      <w:keepNext/>
      <w:numPr>
        <w:ilvl w:val="7"/>
        <w:numId w:val="12"/>
      </w:numPr>
      <w:spacing w:after="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5F5879"/>
    <w:pPr>
      <w:keepNext/>
      <w:numPr>
        <w:ilvl w:val="8"/>
        <w:numId w:val="12"/>
      </w:numPr>
      <w:spacing w:after="0" w:line="240" w:lineRule="auto"/>
      <w:outlineLvl w:val="8"/>
    </w:pPr>
    <w:rPr>
      <w:rFonts w:ascii="Times New Roman" w:eastAsia="Times New Roman" w:hAnsi="Times New Roman" w:cs="Times New Roman"/>
      <w:b/>
      <w:sz w:val="24"/>
      <w:szCs w:val="20"/>
      <w:u w:val="single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Titolo 1 Carattere Знак,Modulo Знак,Hoofdstuk Знак,ALK_K1 Знак,Heading 1_ARGOSS Знак,Заголовок 1 Знак1 Знак Знак,Заголовок 1 Знак2 Знак Знак Знак,Заголовок 1 Знак Знак1 Знак Знак Знак,Заголовок 1 Знак1 Знак Знак Знак Знак Знак"/>
    <w:basedOn w:val="a0"/>
    <w:link w:val="1"/>
    <w:rsid w:val="005F587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aliases w:val="Обычный+подчеркивание Знак,一级条 Знак,_Heading 2 Знак,. (1.1) Знак,Section Знак,Заголовок 2 Знак1 Знак Знак,Заголовок 2 Знак Знак Знак Знак,Заголовок 2 Знак1 Знак Знак Знак Знак,Заголовок 2 Знак Знак Знак Знак Знак1 Знак"/>
    <w:basedOn w:val="a0"/>
    <w:link w:val="2"/>
    <w:rsid w:val="005F5879"/>
    <w:rPr>
      <w:rFonts w:ascii="Times New Roman" w:eastAsia="Times New Roman" w:hAnsi="Times New Roman" w:cs="Times New Roman"/>
      <w:b/>
      <w:bCs/>
      <w:i/>
      <w:iCs/>
      <w:sz w:val="24"/>
      <w:szCs w:val="24"/>
      <w:u w:val="single" w:color="000000"/>
    </w:rPr>
  </w:style>
  <w:style w:type="character" w:customStyle="1" w:styleId="30">
    <w:name w:val="Заголовок 3 Знак"/>
    <w:aliases w:val="Заголовок 3 Знак1 Знак,Заголовок 3 Знак Знак Знак,RSKH3 Знак,B Head Знак,Subparagraaf Знак,Заголовок 3 Знак Знак1 Знак Знак,Заголовок 3 Знак Знак2 Знак,KAAE3 Знак,Level 1 - 1 Знак,Minor Знак,1.1.1 Знак,标题03 Знак"/>
    <w:basedOn w:val="a0"/>
    <w:link w:val="3"/>
    <w:rsid w:val="005F587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aliases w:val="RSKH4 Знак Знак,C Head Знак Знак,RSKH4 Знак1,C Head Знак1, Подпункт Знак,Заголовок 4 Знак+12pt Знак,не полужирный Знак,вправо Знак,1.1.1.1 Знак"/>
    <w:basedOn w:val="a0"/>
    <w:link w:val="4"/>
    <w:uiPriority w:val="9"/>
    <w:rsid w:val="005F5879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50">
    <w:name w:val="Заголовок 5 Знак"/>
    <w:aliases w:val="RSKH5 Знак,D Head Знак,Заголовок 5 Знак Знак Знак Знак,Заголовок 5 Знак Знак Знак Знак Знак Знак,Заголовок 51 Знак Знак,Заголовок 5 Знак Знак1 Знак Знак,Заголовок 52 Знак,Заголовок 5 Знак Знак2 Знак,Заголовок 5 Знак Знак Знак Знак1 Знак"/>
    <w:basedOn w:val="a0"/>
    <w:link w:val="5"/>
    <w:rsid w:val="005F5879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F58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F587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F58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F5879"/>
    <w:rPr>
      <w:rFonts w:ascii="Times New Roman" w:eastAsia="Times New Roman" w:hAnsi="Times New Roman" w:cs="Times New Roman"/>
      <w:b/>
      <w:sz w:val="24"/>
      <w:szCs w:val="20"/>
      <w:u w:val="single"/>
      <w:lang w:val="en-US" w:eastAsia="ru-RU"/>
    </w:rPr>
  </w:style>
  <w:style w:type="paragraph" w:styleId="21">
    <w:name w:val="Body Text 2"/>
    <w:aliases w:val="Основной текст 21 Знак,Основной текст 2 Знак Знак Знак Знак Знак Знак Знак Знак,Основной текст 2 Знак Знак Знак Знак Знак Знак Знак"/>
    <w:basedOn w:val="a"/>
    <w:link w:val="22"/>
    <w:uiPriority w:val="99"/>
    <w:rsid w:val="005F58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aliases w:val="Основной текст 21 Знак Знак,Основной текст 2 Знак Знак Знак Знак Знак Знак Знак Знак Знак,Основной текст 2 Знак Знак Знак Знак Знак Знак Знак Знак1"/>
    <w:basedOn w:val="a0"/>
    <w:link w:val="21"/>
    <w:uiPriority w:val="99"/>
    <w:rsid w:val="005F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854F7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54F77"/>
  </w:style>
  <w:style w:type="paragraph" w:customStyle="1" w:styleId="Default">
    <w:name w:val="Default"/>
    <w:rsid w:val="001D2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2806</Words>
  <Characters>15996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Боранбай Серебаев</cp:lastModifiedBy>
  <cp:revision>7</cp:revision>
  <cp:lastPrinted>2024-05-27T05:20:00Z</cp:lastPrinted>
  <dcterms:created xsi:type="dcterms:W3CDTF">2024-05-27T04:57:00Z</dcterms:created>
  <dcterms:modified xsi:type="dcterms:W3CDTF">2025-04-15T09:02:00Z</dcterms:modified>
</cp:coreProperties>
</file>